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rFonts w:ascii="Calibri" w:cs="Calibri" w:eastAsia="Calibri" w:hAnsi="Calibri"/>
          <w:b/>
          <w:bCs/>
          <w:color w:val="0E7490"/>
          <w:spacing w:val="30"/>
          <w:sz w:val="18"/>
          <w:szCs w:val="18"/>
        </w:rPr>
        <w:t xml:space="preserve">MODERN MANAGED</w:t>
      </w:r>
    </w:p>
    <w:p>
      <w:pPr>
        <w:pStyle w:val="Heading1"/>
        <w:spacing w:after="120"/>
      </w:pPr>
      <w:r>
        <w:rPr>
          <w:rFonts w:ascii="Cambria" w:cs="Cambria" w:eastAsia="Cambria" w:hAnsi="Cambria"/>
          <w:b/>
          <w:bCs/>
          <w:color w:val="1F2937"/>
          <w:sz w:val="40"/>
          <w:szCs w:val="40"/>
        </w:rPr>
        <w:t xml:space="preserve">Incident Authority Matrix</w:t>
      </w:r>
    </w:p>
    <w:p>
      <w:pPr>
        <w:spacing w:after="160" w:line="276"/>
      </w:pPr>
      <w:r>
        <w:rPr>
          <w:rFonts w:ascii="Calibri" w:cs="Calibri" w:eastAsia="Calibri" w:hAnsi="Calibri"/>
          <w:color w:val="6B7280"/>
          <w:sz w:val="24"/>
          <w:szCs w:val="24"/>
        </w:rPr>
        <w:t xml:space="preserve">Who can authorise what, and who can do it at 3am. Agree it before the night it happens.</w:t>
      </w:r>
    </w:p>
    <w:p>
      <w:pPr>
        <w:spacing w:after="160" w:line="276"/>
      </w:pPr>
      <w:r>
        <w:rPr>
          <w:rFonts w:ascii="Calibri" w:cs="Calibri" w:eastAsia="Calibri" w:hAnsi="Calibri"/>
          <w:color w:val="1F2937"/>
          <w:sz w:val="20"/>
          <w:szCs w:val="20"/>
        </w:rPr>
        <w:t xml:space="preserve">Fill the role columns with your real people, and pair this with your call list for names and numbers. This is a starting template, not legal or policy advice; get it approved through your own governance. The golden rule below covers anything the table misses.</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3200"/>
        <w:gridCol w:w="1950"/>
        <w:gridCol w:w="2150"/>
        <w:gridCol w:w="2446"/>
      </w:tblGrid>
      <w:tr>
        <w:trPr>
          <w:tblHeader/>
        </w:trPr>
        <w:tc>
          <w:tcPr>
            <w:tcW w:type="dxa" w:w="3200"/>
            <w:tcBorders>
              <w:top w:val="single" w:color="D9DEE7" w:sz="4"/>
              <w:left w:val="single" w:color="D9DEE7" w:sz="4"/>
              <w:bottom w:val="single" w:color="D9DEE7" w:sz="4"/>
              <w:right w:val="single" w:color="D9DEE7" w:sz="4"/>
            </w:tcBorders>
            <w:shd w:fill="F1F5F9" w:val="clear"/>
            <w:tcMar>
              <w:top w:type="dxa" w:w="70"/>
              <w:left w:type="dxa" w:w="110"/>
              <w:bottom w:type="dxa" w:w="70"/>
              <w:right w:type="dxa" w:w="110"/>
            </w:tcMar>
          </w:tcPr>
          <w:p>
            <w:r>
              <w:rPr>
                <w:rFonts w:ascii="Calibri" w:cs="Calibri" w:eastAsia="Calibri" w:hAnsi="Calibri"/>
                <w:b/>
                <w:bCs/>
                <w:color w:val="1F2937"/>
                <w:sz w:val="19"/>
                <w:szCs w:val="19"/>
              </w:rPr>
              <w:t xml:space="preserve">Action</w:t>
            </w:r>
          </w:p>
        </w:tc>
        <w:tc>
          <w:tcPr>
            <w:tcW w:type="dxa" w:w="1950"/>
            <w:tcBorders>
              <w:top w:val="single" w:color="D9DEE7" w:sz="4"/>
              <w:left w:val="single" w:color="D9DEE7" w:sz="4"/>
              <w:bottom w:val="single" w:color="D9DEE7" w:sz="4"/>
              <w:right w:val="single" w:color="D9DEE7" w:sz="4"/>
            </w:tcBorders>
            <w:shd w:fill="F1F5F9" w:val="clear"/>
            <w:tcMar>
              <w:top w:type="dxa" w:w="70"/>
              <w:left w:type="dxa" w:w="110"/>
              <w:bottom w:type="dxa" w:w="70"/>
              <w:right w:type="dxa" w:w="110"/>
            </w:tcMar>
          </w:tcPr>
          <w:p>
            <w:r>
              <w:rPr>
                <w:rFonts w:ascii="Calibri" w:cs="Calibri" w:eastAsia="Calibri" w:hAnsi="Calibri"/>
                <w:b/>
                <w:bCs/>
                <w:color w:val="1F2937"/>
                <w:sz w:val="19"/>
                <w:szCs w:val="19"/>
              </w:rPr>
              <w:t xml:space="preserve">Authorise (in hours)</w:t>
            </w:r>
          </w:p>
        </w:tc>
        <w:tc>
          <w:tcPr>
            <w:tcW w:type="dxa" w:w="2150"/>
            <w:tcBorders>
              <w:top w:val="single" w:color="D9DEE7" w:sz="4"/>
              <w:left w:val="single" w:color="D9DEE7" w:sz="4"/>
              <w:bottom w:val="single" w:color="D9DEE7" w:sz="4"/>
              <w:right w:val="single" w:color="D9DEE7" w:sz="4"/>
            </w:tcBorders>
            <w:shd w:fill="F1F5F9" w:val="clear"/>
            <w:tcMar>
              <w:top w:type="dxa" w:w="70"/>
              <w:left w:type="dxa" w:w="110"/>
              <w:bottom w:type="dxa" w:w="70"/>
              <w:right w:type="dxa" w:w="110"/>
            </w:tcMar>
          </w:tcPr>
          <w:p>
            <w:r>
              <w:rPr>
                <w:rFonts w:ascii="Calibri" w:cs="Calibri" w:eastAsia="Calibri" w:hAnsi="Calibri"/>
                <w:b/>
                <w:bCs/>
                <w:color w:val="1F2937"/>
                <w:sz w:val="19"/>
                <w:szCs w:val="19"/>
              </w:rPr>
              <w:t xml:space="preserve">Authorise (out of hours)</w:t>
            </w:r>
          </w:p>
        </w:tc>
        <w:tc>
          <w:tcPr>
            <w:tcW w:type="dxa" w:w="2446"/>
            <w:tcBorders>
              <w:top w:val="single" w:color="D9DEE7" w:sz="4"/>
              <w:left w:val="single" w:color="D9DEE7" w:sz="4"/>
              <w:bottom w:val="single" w:color="D9DEE7" w:sz="4"/>
              <w:right w:val="single" w:color="D9DEE7" w:sz="4"/>
            </w:tcBorders>
            <w:shd w:fill="F1F5F9" w:val="clear"/>
            <w:tcMar>
              <w:top w:type="dxa" w:w="70"/>
              <w:left w:type="dxa" w:w="110"/>
              <w:bottom w:type="dxa" w:w="70"/>
              <w:right w:type="dxa" w:w="110"/>
            </w:tcMar>
          </w:tcPr>
          <w:p>
            <w:r>
              <w:rPr>
                <w:rFonts w:ascii="Calibri" w:cs="Calibri" w:eastAsia="Calibri" w:hAnsi="Calibri"/>
                <w:b/>
                <w:bCs/>
                <w:color w:val="1F2937"/>
                <w:sz w:val="19"/>
                <w:szCs w:val="19"/>
              </w:rPr>
              <w:t xml:space="preserve">Limits &amp; notes</w:t>
            </w:r>
          </w:p>
        </w:tc>
      </w:tr>
      <w:tr>
        <w:tc>
          <w:tcPr>
            <w:tcW w:type="dxa" w:w="3200"/>
            <w:tcBorders>
              <w:top w:val="single" w:color="D9DEE7" w:sz="4"/>
              <w:left w:val="single" w:color="D9DEE7" w:sz="4"/>
              <w:bottom w:val="single" w:color="D9DEE7" w:sz="4"/>
              <w:right w:val="single" w:color="D9DEE7" w:sz="4"/>
            </w:tcBorders>
            <w:tcMar>
              <w:top w:type="dxa" w:w="70"/>
              <w:left w:type="dxa" w:w="110"/>
              <w:bottom w:type="dxa" w:w="70"/>
              <w:right w:type="dxa" w:w="110"/>
            </w:tcMar>
          </w:tcPr>
          <w:p>
            <w:r>
              <w:rPr>
                <w:rFonts w:ascii="Calibri" w:cs="Calibri" w:eastAsia="Calibri" w:hAnsi="Calibri"/>
                <w:b/>
                <w:bCs/>
                <w:color w:val="1F2937"/>
                <w:sz w:val="19"/>
                <w:szCs w:val="19"/>
              </w:rPr>
              <w:t xml:space="preserve">Declare an incident &amp; set severity</w:t>
            </w:r>
          </w:p>
        </w:tc>
        <w:tc>
          <w:tcPr>
            <w:tcW w:type="dxa" w:w="1950"/>
            <w:tcBorders>
              <w:top w:val="single" w:color="D9DEE7" w:sz="4"/>
              <w:left w:val="single" w:color="D9DEE7" w:sz="4"/>
              <w:bottom w:val="single" w:color="D9DEE7" w:sz="4"/>
              <w:right w:val="single" w:color="D9DEE7" w:sz="4"/>
            </w:tcBorders>
            <w:tcMar>
              <w:top w:type="dxa" w:w="70"/>
              <w:left w:type="dxa" w:w="110"/>
              <w:bottom w:type="dxa" w:w="70"/>
              <w:right w:type="dxa" w:w="110"/>
            </w:tcMar>
          </w:tcPr>
          <w:p>
            <w:r>
              <w:rPr>
                <w:rFonts w:ascii="Calibri" w:cs="Calibri" w:eastAsia="Calibri" w:hAnsi="Calibri"/>
                <w:color w:val="1E3A5F"/>
                <w:sz w:val="18"/>
                <w:szCs w:val="18"/>
              </w:rPr>
              <w:t xml:space="preserve">Incident Commander</w:t>
            </w:r>
          </w:p>
        </w:tc>
        <w:tc>
          <w:tcPr>
            <w:tcW w:type="dxa" w:w="2150"/>
            <w:tcBorders>
              <w:top w:val="single" w:color="D9DEE7" w:sz="4"/>
              <w:left w:val="single" w:color="D9DEE7" w:sz="4"/>
              <w:bottom w:val="single" w:color="D9DEE7" w:sz="4"/>
              <w:right w:val="single" w:color="D9DEE7" w:sz="4"/>
            </w:tcBorders>
            <w:tcMar>
              <w:top w:type="dxa" w:w="70"/>
              <w:left w:type="dxa" w:w="110"/>
              <w:bottom w:type="dxa" w:w="70"/>
              <w:right w:type="dxa" w:w="110"/>
            </w:tcMar>
          </w:tcPr>
          <w:p>
            <w:r>
              <w:rPr>
                <w:rFonts w:ascii="Calibri" w:cs="Calibri" w:eastAsia="Calibri" w:hAnsi="Calibri"/>
                <w:color w:val="C2410C"/>
                <w:sz w:val="18"/>
                <w:szCs w:val="18"/>
              </w:rPr>
              <w:t xml:space="preserve">On-call IC</w:t>
            </w:r>
          </w:p>
        </w:tc>
        <w:tc>
          <w:tcPr>
            <w:tcW w:type="dxa" w:w="2446"/>
            <w:tcBorders>
              <w:top w:val="single" w:color="D9DEE7" w:sz="4"/>
              <w:left w:val="single" w:color="D9DEE7" w:sz="4"/>
              <w:bottom w:val="single" w:color="D9DEE7" w:sz="4"/>
              <w:right w:val="single" w:color="D9DEE7" w:sz="4"/>
            </w:tcBorders>
            <w:tcMar>
              <w:top w:type="dxa" w:w="70"/>
              <w:left w:type="dxa" w:w="110"/>
              <w:bottom w:type="dxa" w:w="70"/>
              <w:right w:type="dxa" w:w="110"/>
            </w:tcMar>
          </w:tcPr>
          <w:p>
            <w:r>
              <w:rPr>
                <w:rFonts w:ascii="Calibri" w:cs="Calibri" w:eastAsia="Calibri" w:hAnsi="Calibri"/>
                <w:i/>
                <w:iCs/>
                <w:color w:val="6B7280"/>
                <w:sz w:val="18"/>
                <w:szCs w:val="18"/>
              </w:rPr>
              <w:t xml:space="preserve">Any suspected breach. Note the time.</w:t>
            </w:r>
          </w:p>
        </w:tc>
      </w:tr>
      <w:tr>
        <w:tc>
          <w:tcPr>
            <w:tcW w:type="dxa" w:w="3200"/>
            <w:tcBorders>
              <w:top w:val="single" w:color="D9DEE7" w:sz="4"/>
              <w:left w:val="single" w:color="D9DEE7" w:sz="4"/>
              <w:bottom w:val="single" w:color="D9DEE7" w:sz="4"/>
              <w:right w:val="single" w:color="D9DEE7" w:sz="4"/>
            </w:tcBorders>
            <w:tcMar>
              <w:top w:type="dxa" w:w="70"/>
              <w:left w:type="dxa" w:w="110"/>
              <w:bottom w:type="dxa" w:w="70"/>
              <w:right w:type="dxa" w:w="110"/>
            </w:tcMar>
          </w:tcPr>
          <w:p>
            <w:r>
              <w:rPr>
                <w:rFonts w:ascii="Calibri" w:cs="Calibri" w:eastAsia="Calibri" w:hAnsi="Calibri"/>
                <w:b/>
                <w:bCs/>
                <w:color w:val="1F2937"/>
                <w:sz w:val="19"/>
                <w:szCs w:val="19"/>
              </w:rPr>
              <w:t xml:space="preserve">Stand up the bridge / invoke the plan</w:t>
            </w:r>
          </w:p>
        </w:tc>
        <w:tc>
          <w:tcPr>
            <w:tcW w:type="dxa" w:w="1950"/>
            <w:tcBorders>
              <w:top w:val="single" w:color="D9DEE7" w:sz="4"/>
              <w:left w:val="single" w:color="D9DEE7" w:sz="4"/>
              <w:bottom w:val="single" w:color="D9DEE7" w:sz="4"/>
              <w:right w:val="single" w:color="D9DEE7" w:sz="4"/>
            </w:tcBorders>
            <w:tcMar>
              <w:top w:type="dxa" w:w="70"/>
              <w:left w:type="dxa" w:w="110"/>
              <w:bottom w:type="dxa" w:w="70"/>
              <w:right w:type="dxa" w:w="110"/>
            </w:tcMar>
          </w:tcPr>
          <w:p>
            <w:r>
              <w:rPr>
                <w:rFonts w:ascii="Calibri" w:cs="Calibri" w:eastAsia="Calibri" w:hAnsi="Calibri"/>
                <w:color w:val="1E3A5F"/>
                <w:sz w:val="18"/>
                <w:szCs w:val="18"/>
              </w:rPr>
              <w:t xml:space="preserve">Incident Commander</w:t>
            </w:r>
          </w:p>
        </w:tc>
        <w:tc>
          <w:tcPr>
            <w:tcW w:type="dxa" w:w="2150"/>
            <w:tcBorders>
              <w:top w:val="single" w:color="D9DEE7" w:sz="4"/>
              <w:left w:val="single" w:color="D9DEE7" w:sz="4"/>
              <w:bottom w:val="single" w:color="D9DEE7" w:sz="4"/>
              <w:right w:val="single" w:color="D9DEE7" w:sz="4"/>
            </w:tcBorders>
            <w:tcMar>
              <w:top w:type="dxa" w:w="70"/>
              <w:left w:type="dxa" w:w="110"/>
              <w:bottom w:type="dxa" w:w="70"/>
              <w:right w:type="dxa" w:w="110"/>
            </w:tcMar>
          </w:tcPr>
          <w:p>
            <w:r>
              <w:rPr>
                <w:rFonts w:ascii="Calibri" w:cs="Calibri" w:eastAsia="Calibri" w:hAnsi="Calibri"/>
                <w:color w:val="C2410C"/>
                <w:sz w:val="18"/>
                <w:szCs w:val="18"/>
              </w:rPr>
              <w:t xml:space="preserve">On-call IC</w:t>
            </w:r>
          </w:p>
        </w:tc>
        <w:tc>
          <w:tcPr>
            <w:tcW w:type="dxa" w:w="2446"/>
            <w:tcBorders>
              <w:top w:val="single" w:color="D9DEE7" w:sz="4"/>
              <w:left w:val="single" w:color="D9DEE7" w:sz="4"/>
              <w:bottom w:val="single" w:color="D9DEE7" w:sz="4"/>
              <w:right w:val="single" w:color="D9DEE7" w:sz="4"/>
            </w:tcBorders>
            <w:tcMar>
              <w:top w:type="dxa" w:w="70"/>
              <w:left w:type="dxa" w:w="110"/>
              <w:bottom w:type="dxa" w:w="70"/>
              <w:right w:type="dxa" w:w="110"/>
            </w:tcMar>
          </w:tcPr>
          <w:p>
            <w:r>
              <w:rPr>
                <w:rFonts w:ascii="Calibri" w:cs="Calibri" w:eastAsia="Calibri" w:hAnsi="Calibri"/>
                <w:i/>
                <w:iCs/>
                <w:color w:val="6B7280"/>
                <w:sz w:val="18"/>
                <w:szCs w:val="18"/>
              </w:rPr>
              <w:t xml:space="preserve">Sooner rather than later.</w:t>
            </w:r>
          </w:p>
        </w:tc>
      </w:tr>
      <w:tr>
        <w:tc>
          <w:tcPr>
            <w:tcW w:type="dxa" w:w="3200"/>
            <w:tcBorders>
              <w:top w:val="single" w:color="D9DEE7" w:sz="4"/>
              <w:left w:val="single" w:color="D9DEE7" w:sz="4"/>
              <w:bottom w:val="single" w:color="D9DEE7" w:sz="4"/>
              <w:right w:val="single" w:color="D9DEE7" w:sz="4"/>
            </w:tcBorders>
            <w:tcMar>
              <w:top w:type="dxa" w:w="70"/>
              <w:left w:type="dxa" w:w="110"/>
              <w:bottom w:type="dxa" w:w="70"/>
              <w:right w:type="dxa" w:w="110"/>
            </w:tcMar>
          </w:tcPr>
          <w:p>
            <w:r>
              <w:rPr>
                <w:rFonts w:ascii="Calibri" w:cs="Calibri" w:eastAsia="Calibri" w:hAnsi="Calibri"/>
                <w:b/>
                <w:bCs/>
                <w:color w:val="1F2937"/>
                <w:sz w:val="19"/>
                <w:szCs w:val="19"/>
              </w:rPr>
              <w:t xml:space="preserve">Take a system or service offline</w:t>
            </w:r>
          </w:p>
        </w:tc>
        <w:tc>
          <w:tcPr>
            <w:tcW w:type="dxa" w:w="1950"/>
            <w:tcBorders>
              <w:top w:val="single" w:color="D9DEE7" w:sz="4"/>
              <w:left w:val="single" w:color="D9DEE7" w:sz="4"/>
              <w:bottom w:val="single" w:color="D9DEE7" w:sz="4"/>
              <w:right w:val="single" w:color="D9DEE7" w:sz="4"/>
            </w:tcBorders>
            <w:tcMar>
              <w:top w:type="dxa" w:w="70"/>
              <w:left w:type="dxa" w:w="110"/>
              <w:bottom w:type="dxa" w:w="70"/>
              <w:right w:type="dxa" w:w="110"/>
            </w:tcMar>
          </w:tcPr>
          <w:p>
            <w:r>
              <w:rPr>
                <w:rFonts w:ascii="Calibri" w:cs="Calibri" w:eastAsia="Calibri" w:hAnsi="Calibri"/>
                <w:color w:val="1E3A5F"/>
                <w:sz w:val="18"/>
                <w:szCs w:val="18"/>
              </w:rPr>
              <w:t xml:space="preserve">IC + service owner</w:t>
            </w:r>
          </w:p>
        </w:tc>
        <w:tc>
          <w:tcPr>
            <w:tcW w:type="dxa" w:w="2150"/>
            <w:tcBorders>
              <w:top w:val="single" w:color="D9DEE7" w:sz="4"/>
              <w:left w:val="single" w:color="D9DEE7" w:sz="4"/>
              <w:bottom w:val="single" w:color="D9DEE7" w:sz="4"/>
              <w:right w:val="single" w:color="D9DEE7" w:sz="4"/>
            </w:tcBorders>
            <w:tcMar>
              <w:top w:type="dxa" w:w="70"/>
              <w:left w:type="dxa" w:w="110"/>
              <w:bottom w:type="dxa" w:w="70"/>
              <w:right w:type="dxa" w:w="110"/>
            </w:tcMar>
          </w:tcPr>
          <w:p>
            <w:r>
              <w:rPr>
                <w:rFonts w:ascii="Calibri" w:cs="Calibri" w:eastAsia="Calibri" w:hAnsi="Calibri"/>
                <w:color w:val="C2410C"/>
                <w:sz w:val="18"/>
                <w:szCs w:val="18"/>
              </w:rPr>
              <w:t xml:space="preserve">On-call IC</w:t>
            </w:r>
          </w:p>
        </w:tc>
        <w:tc>
          <w:tcPr>
            <w:tcW w:type="dxa" w:w="2446"/>
            <w:tcBorders>
              <w:top w:val="single" w:color="D9DEE7" w:sz="4"/>
              <w:left w:val="single" w:color="D9DEE7" w:sz="4"/>
              <w:bottom w:val="single" w:color="D9DEE7" w:sz="4"/>
              <w:right w:val="single" w:color="D9DEE7" w:sz="4"/>
            </w:tcBorders>
            <w:tcMar>
              <w:top w:type="dxa" w:w="70"/>
              <w:left w:type="dxa" w:w="110"/>
              <w:bottom w:type="dxa" w:w="70"/>
              <w:right w:type="dxa" w:w="110"/>
            </w:tcMar>
          </w:tcPr>
          <w:p>
            <w:r>
              <w:rPr>
                <w:rFonts w:ascii="Calibri" w:cs="Calibri" w:eastAsia="Calibri" w:hAnsi="Calibri"/>
                <w:i/>
                <w:iCs/>
                <w:color w:val="6B7280"/>
                <w:sz w:val="18"/>
                <w:szCs w:val="18"/>
              </w:rPr>
              <w:t xml:space="preserve">Prefer isolate over full shutdown.</w:t>
            </w:r>
          </w:p>
        </w:tc>
      </w:tr>
      <w:tr>
        <w:tc>
          <w:tcPr>
            <w:tcW w:type="dxa" w:w="3200"/>
            <w:tcBorders>
              <w:top w:val="single" w:color="D9DEE7" w:sz="4"/>
              <w:left w:val="single" w:color="D9DEE7" w:sz="4"/>
              <w:bottom w:val="single" w:color="D9DEE7" w:sz="4"/>
              <w:right w:val="single" w:color="D9DEE7" w:sz="4"/>
            </w:tcBorders>
            <w:tcMar>
              <w:top w:type="dxa" w:w="70"/>
              <w:left w:type="dxa" w:w="110"/>
              <w:bottom w:type="dxa" w:w="70"/>
              <w:right w:type="dxa" w:w="110"/>
            </w:tcMar>
          </w:tcPr>
          <w:p>
            <w:r>
              <w:rPr>
                <w:rFonts w:ascii="Calibri" w:cs="Calibri" w:eastAsia="Calibri" w:hAnsi="Calibri"/>
                <w:b/>
                <w:bCs/>
                <w:color w:val="1F2937"/>
                <w:sz w:val="19"/>
                <w:szCs w:val="19"/>
              </w:rPr>
              <w:t xml:space="preserve">Isolate or segment a network area</w:t>
            </w:r>
          </w:p>
        </w:tc>
        <w:tc>
          <w:tcPr>
            <w:tcW w:type="dxa" w:w="1950"/>
            <w:tcBorders>
              <w:top w:val="single" w:color="D9DEE7" w:sz="4"/>
              <w:left w:val="single" w:color="D9DEE7" w:sz="4"/>
              <w:bottom w:val="single" w:color="D9DEE7" w:sz="4"/>
              <w:right w:val="single" w:color="D9DEE7" w:sz="4"/>
            </w:tcBorders>
            <w:tcMar>
              <w:top w:type="dxa" w:w="70"/>
              <w:left w:type="dxa" w:w="110"/>
              <w:bottom w:type="dxa" w:w="70"/>
              <w:right w:type="dxa" w:w="110"/>
            </w:tcMar>
          </w:tcPr>
          <w:p>
            <w:r>
              <w:rPr>
                <w:rFonts w:ascii="Calibri" w:cs="Calibri" w:eastAsia="Calibri" w:hAnsi="Calibri"/>
                <w:color w:val="1E3A5F"/>
                <w:sz w:val="18"/>
                <w:szCs w:val="18"/>
              </w:rPr>
              <w:t xml:space="preserve">SOC lead</w:t>
            </w:r>
          </w:p>
        </w:tc>
        <w:tc>
          <w:tcPr>
            <w:tcW w:type="dxa" w:w="2150"/>
            <w:tcBorders>
              <w:top w:val="single" w:color="D9DEE7" w:sz="4"/>
              <w:left w:val="single" w:color="D9DEE7" w:sz="4"/>
              <w:bottom w:val="single" w:color="D9DEE7" w:sz="4"/>
              <w:right w:val="single" w:color="D9DEE7" w:sz="4"/>
            </w:tcBorders>
            <w:tcMar>
              <w:top w:type="dxa" w:w="70"/>
              <w:left w:type="dxa" w:w="110"/>
              <w:bottom w:type="dxa" w:w="70"/>
              <w:right w:type="dxa" w:w="110"/>
            </w:tcMar>
          </w:tcPr>
          <w:p>
            <w:r>
              <w:rPr>
                <w:rFonts w:ascii="Calibri" w:cs="Calibri" w:eastAsia="Calibri" w:hAnsi="Calibri"/>
                <w:color w:val="C2410C"/>
                <w:sz w:val="18"/>
                <w:szCs w:val="18"/>
              </w:rPr>
              <w:t xml:space="preserve">SOC on-call</w:t>
            </w:r>
          </w:p>
        </w:tc>
        <w:tc>
          <w:tcPr>
            <w:tcW w:type="dxa" w:w="2446"/>
            <w:tcBorders>
              <w:top w:val="single" w:color="D9DEE7" w:sz="4"/>
              <w:left w:val="single" w:color="D9DEE7" w:sz="4"/>
              <w:bottom w:val="single" w:color="D9DEE7" w:sz="4"/>
              <w:right w:val="single" w:color="D9DEE7" w:sz="4"/>
            </w:tcBorders>
            <w:tcMar>
              <w:top w:type="dxa" w:w="70"/>
              <w:left w:type="dxa" w:w="110"/>
              <w:bottom w:type="dxa" w:w="70"/>
              <w:right w:type="dxa" w:w="110"/>
            </w:tcMar>
          </w:tcPr>
          <w:p>
            <w:r>
              <w:rPr>
                <w:rFonts w:ascii="Calibri" w:cs="Calibri" w:eastAsia="Calibri" w:hAnsi="Calibri"/>
                <w:i/>
                <w:iCs/>
                <w:color w:val="6B7280"/>
                <w:sz w:val="18"/>
                <w:szCs w:val="18"/>
              </w:rPr>
              <w:t xml:space="preserve">Within agreed scope. Log it.</w:t>
            </w:r>
          </w:p>
        </w:tc>
      </w:tr>
      <w:tr>
        <w:tc>
          <w:tcPr>
            <w:tcW w:type="dxa" w:w="3200"/>
            <w:tcBorders>
              <w:top w:val="single" w:color="D9DEE7" w:sz="4"/>
              <w:left w:val="single" w:color="D9DEE7" w:sz="4"/>
              <w:bottom w:val="single" w:color="D9DEE7" w:sz="4"/>
              <w:right w:val="single" w:color="D9DEE7" w:sz="4"/>
            </w:tcBorders>
            <w:tcMar>
              <w:top w:type="dxa" w:w="70"/>
              <w:left w:type="dxa" w:w="110"/>
              <w:bottom w:type="dxa" w:w="70"/>
              <w:right w:type="dxa" w:w="110"/>
            </w:tcMar>
          </w:tcPr>
          <w:p>
            <w:r>
              <w:rPr>
                <w:rFonts w:ascii="Calibri" w:cs="Calibri" w:eastAsia="Calibri" w:hAnsi="Calibri"/>
                <w:b/>
                <w:bCs/>
                <w:color w:val="1F2937"/>
                <w:sz w:val="19"/>
                <w:szCs w:val="19"/>
              </w:rPr>
              <w:t xml:space="preserve">Revoke or rotate credentials</w:t>
            </w:r>
          </w:p>
        </w:tc>
        <w:tc>
          <w:tcPr>
            <w:tcW w:type="dxa" w:w="1950"/>
            <w:tcBorders>
              <w:top w:val="single" w:color="D9DEE7" w:sz="4"/>
              <w:left w:val="single" w:color="D9DEE7" w:sz="4"/>
              <w:bottom w:val="single" w:color="D9DEE7" w:sz="4"/>
              <w:right w:val="single" w:color="D9DEE7" w:sz="4"/>
            </w:tcBorders>
            <w:tcMar>
              <w:top w:type="dxa" w:w="70"/>
              <w:left w:type="dxa" w:w="110"/>
              <w:bottom w:type="dxa" w:w="70"/>
              <w:right w:type="dxa" w:w="110"/>
            </w:tcMar>
          </w:tcPr>
          <w:p>
            <w:r>
              <w:rPr>
                <w:rFonts w:ascii="Calibri" w:cs="Calibri" w:eastAsia="Calibri" w:hAnsi="Calibri"/>
                <w:color w:val="1E3A5F"/>
                <w:sz w:val="18"/>
                <w:szCs w:val="18"/>
              </w:rPr>
              <w:t xml:space="preserve">SOC / IT lead</w:t>
            </w:r>
          </w:p>
        </w:tc>
        <w:tc>
          <w:tcPr>
            <w:tcW w:type="dxa" w:w="2150"/>
            <w:tcBorders>
              <w:top w:val="single" w:color="D9DEE7" w:sz="4"/>
              <w:left w:val="single" w:color="D9DEE7" w:sz="4"/>
              <w:bottom w:val="single" w:color="D9DEE7" w:sz="4"/>
              <w:right w:val="single" w:color="D9DEE7" w:sz="4"/>
            </w:tcBorders>
            <w:tcMar>
              <w:top w:type="dxa" w:w="70"/>
              <w:left w:type="dxa" w:w="110"/>
              <w:bottom w:type="dxa" w:w="70"/>
              <w:right w:type="dxa" w:w="110"/>
            </w:tcMar>
          </w:tcPr>
          <w:p>
            <w:r>
              <w:rPr>
                <w:rFonts w:ascii="Calibri" w:cs="Calibri" w:eastAsia="Calibri" w:hAnsi="Calibri"/>
                <w:color w:val="C2410C"/>
                <w:sz w:val="18"/>
                <w:szCs w:val="18"/>
              </w:rPr>
              <w:t xml:space="preserve">SOC on-call</w:t>
            </w:r>
          </w:p>
        </w:tc>
        <w:tc>
          <w:tcPr>
            <w:tcW w:type="dxa" w:w="2446"/>
            <w:tcBorders>
              <w:top w:val="single" w:color="D9DEE7" w:sz="4"/>
              <w:left w:val="single" w:color="D9DEE7" w:sz="4"/>
              <w:bottom w:val="single" w:color="D9DEE7" w:sz="4"/>
              <w:right w:val="single" w:color="D9DEE7" w:sz="4"/>
            </w:tcBorders>
            <w:tcMar>
              <w:top w:type="dxa" w:w="70"/>
              <w:left w:type="dxa" w:w="110"/>
              <w:bottom w:type="dxa" w:w="70"/>
              <w:right w:type="dxa" w:w="110"/>
            </w:tcMar>
          </w:tcPr>
          <w:p>
            <w:r>
              <w:rPr>
                <w:rFonts w:ascii="Calibri" w:cs="Calibri" w:eastAsia="Calibri" w:hAnsi="Calibri"/>
                <w:i/>
                <w:iCs/>
                <w:color w:val="6B7280"/>
                <w:sz w:val="18"/>
                <w:szCs w:val="18"/>
              </w:rPr>
              <w:t xml:space="preserve">Immediate on confirmed compromise.</w:t>
            </w:r>
          </w:p>
        </w:tc>
      </w:tr>
      <w:tr>
        <w:tc>
          <w:tcPr>
            <w:tcW w:type="dxa" w:w="3200"/>
            <w:tcBorders>
              <w:top w:val="single" w:color="D9DEE7" w:sz="4"/>
              <w:left w:val="single" w:color="D9DEE7" w:sz="4"/>
              <w:bottom w:val="single" w:color="D9DEE7" w:sz="4"/>
              <w:right w:val="single" w:color="D9DEE7" w:sz="4"/>
            </w:tcBorders>
            <w:tcMar>
              <w:top w:type="dxa" w:w="70"/>
              <w:left w:type="dxa" w:w="110"/>
              <w:bottom w:type="dxa" w:w="70"/>
              <w:right w:type="dxa" w:w="110"/>
            </w:tcMar>
          </w:tcPr>
          <w:p>
            <w:r>
              <w:rPr>
                <w:rFonts w:ascii="Calibri" w:cs="Calibri" w:eastAsia="Calibri" w:hAnsi="Calibri"/>
                <w:b/>
                <w:bCs/>
                <w:color w:val="1F2937"/>
                <w:sz w:val="19"/>
                <w:szCs w:val="19"/>
              </w:rPr>
              <w:t xml:space="preserve">Emergency egress / firewall block</w:t>
            </w:r>
          </w:p>
        </w:tc>
        <w:tc>
          <w:tcPr>
            <w:tcW w:type="dxa" w:w="1950"/>
            <w:tcBorders>
              <w:top w:val="single" w:color="D9DEE7" w:sz="4"/>
              <w:left w:val="single" w:color="D9DEE7" w:sz="4"/>
              <w:bottom w:val="single" w:color="D9DEE7" w:sz="4"/>
              <w:right w:val="single" w:color="D9DEE7" w:sz="4"/>
            </w:tcBorders>
            <w:tcMar>
              <w:top w:type="dxa" w:w="70"/>
              <w:left w:type="dxa" w:w="110"/>
              <w:bottom w:type="dxa" w:w="70"/>
              <w:right w:type="dxa" w:w="110"/>
            </w:tcMar>
          </w:tcPr>
          <w:p>
            <w:r>
              <w:rPr>
                <w:rFonts w:ascii="Calibri" w:cs="Calibri" w:eastAsia="Calibri" w:hAnsi="Calibri"/>
                <w:color w:val="1E3A5F"/>
                <w:sz w:val="18"/>
                <w:szCs w:val="18"/>
              </w:rPr>
              <w:t xml:space="preserve">SOC lead</w:t>
            </w:r>
          </w:p>
        </w:tc>
        <w:tc>
          <w:tcPr>
            <w:tcW w:type="dxa" w:w="2150"/>
            <w:tcBorders>
              <w:top w:val="single" w:color="D9DEE7" w:sz="4"/>
              <w:left w:val="single" w:color="D9DEE7" w:sz="4"/>
              <w:bottom w:val="single" w:color="D9DEE7" w:sz="4"/>
              <w:right w:val="single" w:color="D9DEE7" w:sz="4"/>
            </w:tcBorders>
            <w:tcMar>
              <w:top w:type="dxa" w:w="70"/>
              <w:left w:type="dxa" w:w="110"/>
              <w:bottom w:type="dxa" w:w="70"/>
              <w:right w:type="dxa" w:w="110"/>
            </w:tcMar>
          </w:tcPr>
          <w:p>
            <w:r>
              <w:rPr>
                <w:rFonts w:ascii="Calibri" w:cs="Calibri" w:eastAsia="Calibri" w:hAnsi="Calibri"/>
                <w:color w:val="C2410C"/>
                <w:sz w:val="18"/>
                <w:szCs w:val="18"/>
              </w:rPr>
              <w:t xml:space="preserve">SOC on-call</w:t>
            </w:r>
          </w:p>
        </w:tc>
        <w:tc>
          <w:tcPr>
            <w:tcW w:type="dxa" w:w="2446"/>
            <w:tcBorders>
              <w:top w:val="single" w:color="D9DEE7" w:sz="4"/>
              <w:left w:val="single" w:color="D9DEE7" w:sz="4"/>
              <w:bottom w:val="single" w:color="D9DEE7" w:sz="4"/>
              <w:right w:val="single" w:color="D9DEE7" w:sz="4"/>
            </w:tcBorders>
            <w:tcMar>
              <w:top w:type="dxa" w:w="70"/>
              <w:left w:type="dxa" w:w="110"/>
              <w:bottom w:type="dxa" w:w="70"/>
              <w:right w:type="dxa" w:w="110"/>
            </w:tcMar>
          </w:tcPr>
          <w:p>
            <w:r>
              <w:rPr>
                <w:rFonts w:ascii="Calibri" w:cs="Calibri" w:eastAsia="Calibri" w:hAnsi="Calibri"/>
                <w:i/>
                <w:iCs/>
                <w:color w:val="6B7280"/>
                <w:sz w:val="18"/>
                <w:szCs w:val="18"/>
              </w:rPr>
              <w:t xml:space="preserve">Time-box it. Review next day.</w:t>
            </w:r>
          </w:p>
        </w:tc>
      </w:tr>
      <w:tr>
        <w:tc>
          <w:tcPr>
            <w:tcW w:type="dxa" w:w="3200"/>
            <w:tcBorders>
              <w:top w:val="single" w:color="D9DEE7" w:sz="4"/>
              <w:left w:val="single" w:color="D9DEE7" w:sz="4"/>
              <w:bottom w:val="single" w:color="D9DEE7" w:sz="4"/>
              <w:right w:val="single" w:color="D9DEE7" w:sz="4"/>
            </w:tcBorders>
            <w:tcMar>
              <w:top w:type="dxa" w:w="70"/>
              <w:left w:type="dxa" w:w="110"/>
              <w:bottom w:type="dxa" w:w="70"/>
              <w:right w:type="dxa" w:w="110"/>
            </w:tcMar>
          </w:tcPr>
          <w:p>
            <w:r>
              <w:rPr>
                <w:rFonts w:ascii="Calibri" w:cs="Calibri" w:eastAsia="Calibri" w:hAnsi="Calibri"/>
                <w:b/>
                <w:bCs/>
                <w:color w:val="1F2937"/>
                <w:sz w:val="19"/>
                <w:szCs w:val="19"/>
              </w:rPr>
              <w:t xml:space="preserve">Disable a user account or AI agent</w:t>
            </w:r>
          </w:p>
        </w:tc>
        <w:tc>
          <w:tcPr>
            <w:tcW w:type="dxa" w:w="1950"/>
            <w:tcBorders>
              <w:top w:val="single" w:color="D9DEE7" w:sz="4"/>
              <w:left w:val="single" w:color="D9DEE7" w:sz="4"/>
              <w:bottom w:val="single" w:color="D9DEE7" w:sz="4"/>
              <w:right w:val="single" w:color="D9DEE7" w:sz="4"/>
            </w:tcBorders>
            <w:tcMar>
              <w:top w:type="dxa" w:w="70"/>
              <w:left w:type="dxa" w:w="110"/>
              <w:bottom w:type="dxa" w:w="70"/>
              <w:right w:type="dxa" w:w="110"/>
            </w:tcMar>
          </w:tcPr>
          <w:p>
            <w:r>
              <w:rPr>
                <w:rFonts w:ascii="Calibri" w:cs="Calibri" w:eastAsia="Calibri" w:hAnsi="Calibri"/>
                <w:color w:val="1E3A5F"/>
                <w:sz w:val="18"/>
                <w:szCs w:val="18"/>
              </w:rPr>
              <w:t xml:space="preserve">SOC / IT</w:t>
            </w:r>
          </w:p>
        </w:tc>
        <w:tc>
          <w:tcPr>
            <w:tcW w:type="dxa" w:w="2150"/>
            <w:tcBorders>
              <w:top w:val="single" w:color="D9DEE7" w:sz="4"/>
              <w:left w:val="single" w:color="D9DEE7" w:sz="4"/>
              <w:bottom w:val="single" w:color="D9DEE7" w:sz="4"/>
              <w:right w:val="single" w:color="D9DEE7" w:sz="4"/>
            </w:tcBorders>
            <w:tcMar>
              <w:top w:type="dxa" w:w="70"/>
              <w:left w:type="dxa" w:w="110"/>
              <w:bottom w:type="dxa" w:w="70"/>
              <w:right w:type="dxa" w:w="110"/>
            </w:tcMar>
          </w:tcPr>
          <w:p>
            <w:r>
              <w:rPr>
                <w:rFonts w:ascii="Calibri" w:cs="Calibri" w:eastAsia="Calibri" w:hAnsi="Calibri"/>
                <w:color w:val="C2410C"/>
                <w:sz w:val="18"/>
                <w:szCs w:val="18"/>
              </w:rPr>
              <w:t xml:space="preserve">SOC on-call</w:t>
            </w:r>
          </w:p>
        </w:tc>
        <w:tc>
          <w:tcPr>
            <w:tcW w:type="dxa" w:w="2446"/>
            <w:tcBorders>
              <w:top w:val="single" w:color="D9DEE7" w:sz="4"/>
              <w:left w:val="single" w:color="D9DEE7" w:sz="4"/>
              <w:bottom w:val="single" w:color="D9DEE7" w:sz="4"/>
              <w:right w:val="single" w:color="D9DEE7" w:sz="4"/>
            </w:tcBorders>
            <w:tcMar>
              <w:top w:type="dxa" w:w="70"/>
              <w:left w:type="dxa" w:w="110"/>
              <w:bottom w:type="dxa" w:w="70"/>
              <w:right w:type="dxa" w:w="110"/>
            </w:tcMar>
          </w:tcPr>
          <w:p>
            <w:r>
              <w:rPr>
                <w:rFonts w:ascii="Calibri" w:cs="Calibri" w:eastAsia="Calibri" w:hAnsi="Calibri"/>
                <w:i/>
                <w:iCs/>
                <w:color w:val="6B7280"/>
                <w:sz w:val="18"/>
                <w:szCs w:val="18"/>
              </w:rPr>
              <w:t xml:space="preserve">HR consult for staff accounts.</w:t>
            </w:r>
          </w:p>
        </w:tc>
      </w:tr>
      <w:tr>
        <w:tc>
          <w:tcPr>
            <w:tcW w:type="dxa" w:w="3200"/>
            <w:tcBorders>
              <w:top w:val="single" w:color="D9DEE7" w:sz="4"/>
              <w:left w:val="single" w:color="D9DEE7" w:sz="4"/>
              <w:bottom w:val="single" w:color="D9DEE7" w:sz="4"/>
              <w:right w:val="single" w:color="D9DEE7" w:sz="4"/>
            </w:tcBorders>
            <w:tcMar>
              <w:top w:type="dxa" w:w="70"/>
              <w:left w:type="dxa" w:w="110"/>
              <w:bottom w:type="dxa" w:w="70"/>
              <w:right w:type="dxa" w:w="110"/>
            </w:tcMar>
          </w:tcPr>
          <w:p>
            <w:r>
              <w:rPr>
                <w:rFonts w:ascii="Calibri" w:cs="Calibri" w:eastAsia="Calibri" w:hAnsi="Calibri"/>
                <w:b/>
                <w:bCs/>
                <w:color w:val="1F2937"/>
                <w:sz w:val="19"/>
                <w:szCs w:val="19"/>
              </w:rPr>
              <w:t xml:space="preserve">Engage external IR / DFIR retainer</w:t>
            </w:r>
          </w:p>
        </w:tc>
        <w:tc>
          <w:tcPr>
            <w:tcW w:type="dxa" w:w="1950"/>
            <w:tcBorders>
              <w:top w:val="single" w:color="D9DEE7" w:sz="4"/>
              <w:left w:val="single" w:color="D9DEE7" w:sz="4"/>
              <w:bottom w:val="single" w:color="D9DEE7" w:sz="4"/>
              <w:right w:val="single" w:color="D9DEE7" w:sz="4"/>
            </w:tcBorders>
            <w:tcMar>
              <w:top w:type="dxa" w:w="70"/>
              <w:left w:type="dxa" w:w="110"/>
              <w:bottom w:type="dxa" w:w="70"/>
              <w:right w:type="dxa" w:w="110"/>
            </w:tcMar>
          </w:tcPr>
          <w:p>
            <w:r>
              <w:rPr>
                <w:rFonts w:ascii="Calibri" w:cs="Calibri" w:eastAsia="Calibri" w:hAnsi="Calibri"/>
                <w:color w:val="1E3A5F"/>
                <w:sz w:val="18"/>
                <w:szCs w:val="18"/>
              </w:rPr>
              <w:t xml:space="preserve">IC / CISO</w:t>
            </w:r>
          </w:p>
        </w:tc>
        <w:tc>
          <w:tcPr>
            <w:tcW w:type="dxa" w:w="2150"/>
            <w:tcBorders>
              <w:top w:val="single" w:color="D9DEE7" w:sz="4"/>
              <w:left w:val="single" w:color="D9DEE7" w:sz="4"/>
              <w:bottom w:val="single" w:color="D9DEE7" w:sz="4"/>
              <w:right w:val="single" w:color="D9DEE7" w:sz="4"/>
            </w:tcBorders>
            <w:tcMar>
              <w:top w:type="dxa" w:w="70"/>
              <w:left w:type="dxa" w:w="110"/>
              <w:bottom w:type="dxa" w:w="70"/>
              <w:right w:type="dxa" w:w="110"/>
            </w:tcMar>
          </w:tcPr>
          <w:p>
            <w:r>
              <w:rPr>
                <w:rFonts w:ascii="Calibri" w:cs="Calibri" w:eastAsia="Calibri" w:hAnsi="Calibri"/>
                <w:color w:val="C2410C"/>
                <w:sz w:val="18"/>
                <w:szCs w:val="18"/>
              </w:rPr>
              <w:t xml:space="preserve">On-call IC</w:t>
            </w:r>
          </w:p>
        </w:tc>
        <w:tc>
          <w:tcPr>
            <w:tcW w:type="dxa" w:w="2446"/>
            <w:tcBorders>
              <w:top w:val="single" w:color="D9DEE7" w:sz="4"/>
              <w:left w:val="single" w:color="D9DEE7" w:sz="4"/>
              <w:bottom w:val="single" w:color="D9DEE7" w:sz="4"/>
              <w:right w:val="single" w:color="D9DEE7" w:sz="4"/>
            </w:tcBorders>
            <w:tcMar>
              <w:top w:type="dxa" w:w="70"/>
              <w:left w:type="dxa" w:w="110"/>
              <w:bottom w:type="dxa" w:w="70"/>
              <w:right w:type="dxa" w:w="110"/>
            </w:tcMar>
          </w:tcPr>
          <w:p>
            <w:r>
              <w:rPr>
                <w:rFonts w:ascii="Calibri" w:cs="Calibri" w:eastAsia="Calibri" w:hAnsi="Calibri"/>
                <w:i/>
                <w:iCs/>
                <w:color w:val="6B7280"/>
                <w:sz w:val="18"/>
                <w:szCs w:val="18"/>
              </w:rPr>
              <w:t xml:space="preserve">Notify the insurer first.</w:t>
            </w:r>
          </w:p>
        </w:tc>
      </w:tr>
      <w:tr>
        <w:tc>
          <w:tcPr>
            <w:tcW w:type="dxa" w:w="3200"/>
            <w:tcBorders>
              <w:top w:val="single" w:color="D9DEE7" w:sz="4"/>
              <w:left w:val="single" w:color="D9DEE7" w:sz="4"/>
              <w:bottom w:val="single" w:color="D9DEE7" w:sz="4"/>
              <w:right w:val="single" w:color="D9DEE7" w:sz="4"/>
            </w:tcBorders>
            <w:tcMar>
              <w:top w:type="dxa" w:w="70"/>
              <w:left w:type="dxa" w:w="110"/>
              <w:bottom w:type="dxa" w:w="70"/>
              <w:right w:type="dxa" w:w="110"/>
            </w:tcMar>
          </w:tcPr>
          <w:p>
            <w:r>
              <w:rPr>
                <w:rFonts w:ascii="Calibri" w:cs="Calibri" w:eastAsia="Calibri" w:hAnsi="Calibri"/>
                <w:b/>
                <w:bCs/>
                <w:color w:val="1F2937"/>
                <w:sz w:val="19"/>
                <w:szCs w:val="19"/>
              </w:rPr>
              <w:t xml:space="preserve">Engage the cyber insurer</w:t>
            </w:r>
          </w:p>
        </w:tc>
        <w:tc>
          <w:tcPr>
            <w:tcW w:type="dxa" w:w="1950"/>
            <w:tcBorders>
              <w:top w:val="single" w:color="D9DEE7" w:sz="4"/>
              <w:left w:val="single" w:color="D9DEE7" w:sz="4"/>
              <w:bottom w:val="single" w:color="D9DEE7" w:sz="4"/>
              <w:right w:val="single" w:color="D9DEE7" w:sz="4"/>
            </w:tcBorders>
            <w:tcMar>
              <w:top w:type="dxa" w:w="70"/>
              <w:left w:type="dxa" w:w="110"/>
              <w:bottom w:type="dxa" w:w="70"/>
              <w:right w:type="dxa" w:w="110"/>
            </w:tcMar>
          </w:tcPr>
          <w:p>
            <w:r>
              <w:rPr>
                <w:rFonts w:ascii="Calibri" w:cs="Calibri" w:eastAsia="Calibri" w:hAnsi="Calibri"/>
                <w:color w:val="1E3A5F"/>
                <w:sz w:val="18"/>
                <w:szCs w:val="18"/>
              </w:rPr>
              <w:t xml:space="preserve">Legal / IC</w:t>
            </w:r>
          </w:p>
        </w:tc>
        <w:tc>
          <w:tcPr>
            <w:tcW w:type="dxa" w:w="2150"/>
            <w:tcBorders>
              <w:top w:val="single" w:color="D9DEE7" w:sz="4"/>
              <w:left w:val="single" w:color="D9DEE7" w:sz="4"/>
              <w:bottom w:val="single" w:color="D9DEE7" w:sz="4"/>
              <w:right w:val="single" w:color="D9DEE7" w:sz="4"/>
            </w:tcBorders>
            <w:tcMar>
              <w:top w:type="dxa" w:w="70"/>
              <w:left w:type="dxa" w:w="110"/>
              <w:bottom w:type="dxa" w:w="70"/>
              <w:right w:type="dxa" w:w="110"/>
            </w:tcMar>
          </w:tcPr>
          <w:p>
            <w:r>
              <w:rPr>
                <w:rFonts w:ascii="Calibri" w:cs="Calibri" w:eastAsia="Calibri" w:hAnsi="Calibri"/>
                <w:color w:val="C2410C"/>
                <w:sz w:val="18"/>
                <w:szCs w:val="18"/>
              </w:rPr>
              <w:t xml:space="preserve">On-call IC</w:t>
            </w:r>
          </w:p>
        </w:tc>
        <w:tc>
          <w:tcPr>
            <w:tcW w:type="dxa" w:w="2446"/>
            <w:tcBorders>
              <w:top w:val="single" w:color="D9DEE7" w:sz="4"/>
              <w:left w:val="single" w:color="D9DEE7" w:sz="4"/>
              <w:bottom w:val="single" w:color="D9DEE7" w:sz="4"/>
              <w:right w:val="single" w:color="D9DEE7" w:sz="4"/>
            </w:tcBorders>
            <w:tcMar>
              <w:top w:type="dxa" w:w="70"/>
              <w:left w:type="dxa" w:w="110"/>
              <w:bottom w:type="dxa" w:w="70"/>
              <w:right w:type="dxa" w:w="110"/>
            </w:tcMar>
          </w:tcPr>
          <w:p>
            <w:r>
              <w:rPr>
                <w:rFonts w:ascii="Calibri" w:cs="Calibri" w:eastAsia="Calibri" w:hAnsi="Calibri"/>
                <w:i/>
                <w:iCs/>
                <w:color w:val="6B7280"/>
                <w:sz w:val="18"/>
                <w:szCs w:val="18"/>
              </w:rPr>
              <w:t xml:space="preserve">Engage early, before responders.</w:t>
            </w:r>
          </w:p>
        </w:tc>
      </w:tr>
      <w:tr>
        <w:tc>
          <w:tcPr>
            <w:tcW w:type="dxa" w:w="3200"/>
            <w:tcBorders>
              <w:top w:val="single" w:color="D9DEE7" w:sz="4"/>
              <w:left w:val="single" w:color="D9DEE7" w:sz="4"/>
              <w:bottom w:val="single" w:color="D9DEE7" w:sz="4"/>
              <w:right w:val="single" w:color="D9DEE7" w:sz="4"/>
            </w:tcBorders>
            <w:tcMar>
              <w:top w:type="dxa" w:w="70"/>
              <w:left w:type="dxa" w:w="110"/>
              <w:bottom w:type="dxa" w:w="70"/>
              <w:right w:type="dxa" w:w="110"/>
            </w:tcMar>
          </w:tcPr>
          <w:p>
            <w:r>
              <w:rPr>
                <w:rFonts w:ascii="Calibri" w:cs="Calibri" w:eastAsia="Calibri" w:hAnsi="Calibri"/>
                <w:b/>
                <w:bCs/>
                <w:color w:val="1F2937"/>
                <w:sz w:val="19"/>
                <w:szCs w:val="19"/>
              </w:rPr>
              <w:t xml:space="preserve">Approve internal communications</w:t>
            </w:r>
          </w:p>
        </w:tc>
        <w:tc>
          <w:tcPr>
            <w:tcW w:type="dxa" w:w="1950"/>
            <w:tcBorders>
              <w:top w:val="single" w:color="D9DEE7" w:sz="4"/>
              <w:left w:val="single" w:color="D9DEE7" w:sz="4"/>
              <w:bottom w:val="single" w:color="D9DEE7" w:sz="4"/>
              <w:right w:val="single" w:color="D9DEE7" w:sz="4"/>
            </w:tcBorders>
            <w:tcMar>
              <w:top w:type="dxa" w:w="70"/>
              <w:left w:type="dxa" w:w="110"/>
              <w:bottom w:type="dxa" w:w="70"/>
              <w:right w:type="dxa" w:w="110"/>
            </w:tcMar>
          </w:tcPr>
          <w:p>
            <w:r>
              <w:rPr>
                <w:rFonts w:ascii="Calibri" w:cs="Calibri" w:eastAsia="Calibri" w:hAnsi="Calibri"/>
                <w:color w:val="1E3A5F"/>
                <w:sz w:val="18"/>
                <w:szCs w:val="18"/>
              </w:rPr>
              <w:t xml:space="preserve">Comms + IC</w:t>
            </w:r>
          </w:p>
        </w:tc>
        <w:tc>
          <w:tcPr>
            <w:tcW w:type="dxa" w:w="2150"/>
            <w:tcBorders>
              <w:top w:val="single" w:color="D9DEE7" w:sz="4"/>
              <w:left w:val="single" w:color="D9DEE7" w:sz="4"/>
              <w:bottom w:val="single" w:color="D9DEE7" w:sz="4"/>
              <w:right w:val="single" w:color="D9DEE7" w:sz="4"/>
            </w:tcBorders>
            <w:tcMar>
              <w:top w:type="dxa" w:w="70"/>
              <w:left w:type="dxa" w:w="110"/>
              <w:bottom w:type="dxa" w:w="70"/>
              <w:right w:type="dxa" w:w="110"/>
            </w:tcMar>
          </w:tcPr>
          <w:p>
            <w:r>
              <w:rPr>
                <w:rFonts w:ascii="Calibri" w:cs="Calibri" w:eastAsia="Calibri" w:hAnsi="Calibri"/>
                <w:color w:val="C2410C"/>
                <w:sz w:val="18"/>
                <w:szCs w:val="18"/>
              </w:rPr>
              <w:t xml:space="preserve">On-call IC</w:t>
            </w:r>
          </w:p>
        </w:tc>
        <w:tc>
          <w:tcPr>
            <w:tcW w:type="dxa" w:w="2446"/>
            <w:tcBorders>
              <w:top w:val="single" w:color="D9DEE7" w:sz="4"/>
              <w:left w:val="single" w:color="D9DEE7" w:sz="4"/>
              <w:bottom w:val="single" w:color="D9DEE7" w:sz="4"/>
              <w:right w:val="single" w:color="D9DEE7" w:sz="4"/>
            </w:tcBorders>
            <w:tcMar>
              <w:top w:type="dxa" w:w="70"/>
              <w:left w:type="dxa" w:w="110"/>
              <w:bottom w:type="dxa" w:w="70"/>
              <w:right w:type="dxa" w:w="110"/>
            </w:tcMar>
          </w:tcPr>
          <w:p>
            <w:r>
              <w:rPr>
                <w:rFonts w:ascii="Calibri" w:cs="Calibri" w:eastAsia="Calibri" w:hAnsi="Calibri"/>
                <w:i/>
                <w:iCs/>
                <w:color w:val="6B7280"/>
                <w:sz w:val="18"/>
                <w:szCs w:val="18"/>
              </w:rPr>
              <w:t xml:space="preserve">Holding line only until facts are set.</w:t>
            </w:r>
          </w:p>
        </w:tc>
      </w:tr>
      <w:tr>
        <w:tc>
          <w:tcPr>
            <w:tcW w:type="dxa" w:w="3200"/>
            <w:tcBorders>
              <w:top w:val="single" w:color="D9DEE7" w:sz="4"/>
              <w:left w:val="single" w:color="D9DEE7" w:sz="4"/>
              <w:bottom w:val="single" w:color="D9DEE7" w:sz="4"/>
              <w:right w:val="single" w:color="D9DEE7" w:sz="4"/>
            </w:tcBorders>
            <w:tcMar>
              <w:top w:type="dxa" w:w="70"/>
              <w:left w:type="dxa" w:w="110"/>
              <w:bottom w:type="dxa" w:w="70"/>
              <w:right w:type="dxa" w:w="110"/>
            </w:tcMar>
          </w:tcPr>
          <w:p>
            <w:r>
              <w:rPr>
                <w:rFonts w:ascii="Calibri" w:cs="Calibri" w:eastAsia="Calibri" w:hAnsi="Calibri"/>
                <w:b/>
                <w:bCs/>
                <w:color w:val="1F2937"/>
                <w:sz w:val="19"/>
                <w:szCs w:val="19"/>
              </w:rPr>
              <w:t xml:space="preserve">Approve external / press communications</w:t>
            </w:r>
          </w:p>
        </w:tc>
        <w:tc>
          <w:tcPr>
            <w:tcW w:type="dxa" w:w="1950"/>
            <w:tcBorders>
              <w:top w:val="single" w:color="D9DEE7" w:sz="4"/>
              <w:left w:val="single" w:color="D9DEE7" w:sz="4"/>
              <w:bottom w:val="single" w:color="D9DEE7" w:sz="4"/>
              <w:right w:val="single" w:color="D9DEE7" w:sz="4"/>
            </w:tcBorders>
            <w:tcMar>
              <w:top w:type="dxa" w:w="70"/>
              <w:left w:type="dxa" w:w="110"/>
              <w:bottom w:type="dxa" w:w="70"/>
              <w:right w:type="dxa" w:w="110"/>
            </w:tcMar>
          </w:tcPr>
          <w:p>
            <w:r>
              <w:rPr>
                <w:rFonts w:ascii="Calibri" w:cs="Calibri" w:eastAsia="Calibri" w:hAnsi="Calibri"/>
                <w:color w:val="1E3A5F"/>
                <w:sz w:val="18"/>
                <w:szCs w:val="18"/>
              </w:rPr>
              <w:t xml:space="preserve">Comms + Legal + Exec</w:t>
            </w:r>
          </w:p>
        </w:tc>
        <w:tc>
          <w:tcPr>
            <w:tcW w:type="dxa" w:w="2150"/>
            <w:tcBorders>
              <w:top w:val="single" w:color="D9DEE7" w:sz="4"/>
              <w:left w:val="single" w:color="D9DEE7" w:sz="4"/>
              <w:bottom w:val="single" w:color="D9DEE7" w:sz="4"/>
              <w:right w:val="single" w:color="D9DEE7" w:sz="4"/>
            </w:tcBorders>
            <w:tcMar>
              <w:top w:type="dxa" w:w="70"/>
              <w:left w:type="dxa" w:w="110"/>
              <w:bottom w:type="dxa" w:w="70"/>
              <w:right w:type="dxa" w:w="110"/>
            </w:tcMar>
          </w:tcPr>
          <w:p>
            <w:r>
              <w:rPr>
                <w:rFonts w:ascii="Calibri" w:cs="Calibri" w:eastAsia="Calibri" w:hAnsi="Calibri"/>
                <w:color w:val="C2410C"/>
                <w:sz w:val="18"/>
                <w:szCs w:val="18"/>
              </w:rPr>
              <w:t xml:space="preserve">Exec on-call + Legal</w:t>
            </w:r>
          </w:p>
        </w:tc>
        <w:tc>
          <w:tcPr>
            <w:tcW w:type="dxa" w:w="2446"/>
            <w:tcBorders>
              <w:top w:val="single" w:color="D9DEE7" w:sz="4"/>
              <w:left w:val="single" w:color="D9DEE7" w:sz="4"/>
              <w:bottom w:val="single" w:color="D9DEE7" w:sz="4"/>
              <w:right w:val="single" w:color="D9DEE7" w:sz="4"/>
            </w:tcBorders>
            <w:tcMar>
              <w:top w:type="dxa" w:w="70"/>
              <w:left w:type="dxa" w:w="110"/>
              <w:bottom w:type="dxa" w:w="70"/>
              <w:right w:type="dxa" w:w="110"/>
            </w:tcMar>
          </w:tcPr>
          <w:p>
            <w:r>
              <w:rPr>
                <w:rFonts w:ascii="Calibri" w:cs="Calibri" w:eastAsia="Calibri" w:hAnsi="Calibri"/>
                <w:i/>
                <w:iCs/>
                <w:color w:val="6B7280"/>
                <w:sz w:val="18"/>
                <w:szCs w:val="18"/>
              </w:rPr>
              <w:t xml:space="preserve">No public statement without sign-off.</w:t>
            </w:r>
          </w:p>
        </w:tc>
      </w:tr>
      <w:tr>
        <w:tc>
          <w:tcPr>
            <w:tcW w:type="dxa" w:w="3200"/>
            <w:tcBorders>
              <w:top w:val="single" w:color="D9DEE7" w:sz="4"/>
              <w:left w:val="single" w:color="D9DEE7" w:sz="4"/>
              <w:bottom w:val="single" w:color="D9DEE7" w:sz="4"/>
              <w:right w:val="single" w:color="D9DEE7" w:sz="4"/>
            </w:tcBorders>
            <w:tcMar>
              <w:top w:type="dxa" w:w="70"/>
              <w:left w:type="dxa" w:w="110"/>
              <w:bottom w:type="dxa" w:w="70"/>
              <w:right w:type="dxa" w:w="110"/>
            </w:tcMar>
          </w:tcPr>
          <w:p>
            <w:r>
              <w:rPr>
                <w:rFonts w:ascii="Calibri" w:cs="Calibri" w:eastAsia="Calibri" w:hAnsi="Calibri"/>
                <w:b/>
                <w:bCs/>
                <w:color w:val="1F2937"/>
                <w:sz w:val="19"/>
                <w:szCs w:val="19"/>
              </w:rPr>
              <w:t xml:space="preserve">Report to regulator / law enforcement</w:t>
            </w:r>
          </w:p>
        </w:tc>
        <w:tc>
          <w:tcPr>
            <w:tcW w:type="dxa" w:w="1950"/>
            <w:tcBorders>
              <w:top w:val="single" w:color="D9DEE7" w:sz="4"/>
              <w:left w:val="single" w:color="D9DEE7" w:sz="4"/>
              <w:bottom w:val="single" w:color="D9DEE7" w:sz="4"/>
              <w:right w:val="single" w:color="D9DEE7" w:sz="4"/>
            </w:tcBorders>
            <w:tcMar>
              <w:top w:type="dxa" w:w="70"/>
              <w:left w:type="dxa" w:w="110"/>
              <w:bottom w:type="dxa" w:w="70"/>
              <w:right w:type="dxa" w:w="110"/>
            </w:tcMar>
          </w:tcPr>
          <w:p>
            <w:r>
              <w:rPr>
                <w:rFonts w:ascii="Calibri" w:cs="Calibri" w:eastAsia="Calibri" w:hAnsi="Calibri"/>
                <w:color w:val="1E3A5F"/>
                <w:sz w:val="18"/>
                <w:szCs w:val="18"/>
              </w:rPr>
              <w:t xml:space="preserve">DPO + Legal</w:t>
            </w:r>
          </w:p>
        </w:tc>
        <w:tc>
          <w:tcPr>
            <w:tcW w:type="dxa" w:w="2150"/>
            <w:tcBorders>
              <w:top w:val="single" w:color="D9DEE7" w:sz="4"/>
              <w:left w:val="single" w:color="D9DEE7" w:sz="4"/>
              <w:bottom w:val="single" w:color="D9DEE7" w:sz="4"/>
              <w:right w:val="single" w:color="D9DEE7" w:sz="4"/>
            </w:tcBorders>
            <w:tcMar>
              <w:top w:type="dxa" w:w="70"/>
              <w:left w:type="dxa" w:w="110"/>
              <w:bottom w:type="dxa" w:w="70"/>
              <w:right w:type="dxa" w:w="110"/>
            </w:tcMar>
          </w:tcPr>
          <w:p>
            <w:r>
              <w:rPr>
                <w:rFonts w:ascii="Calibri" w:cs="Calibri" w:eastAsia="Calibri" w:hAnsi="Calibri"/>
                <w:color w:val="C2410C"/>
                <w:sz w:val="18"/>
                <w:szCs w:val="18"/>
              </w:rPr>
              <w:t xml:space="preserve">DPO on-call</w:t>
            </w:r>
          </w:p>
        </w:tc>
        <w:tc>
          <w:tcPr>
            <w:tcW w:type="dxa" w:w="2446"/>
            <w:tcBorders>
              <w:top w:val="single" w:color="D9DEE7" w:sz="4"/>
              <w:left w:val="single" w:color="D9DEE7" w:sz="4"/>
              <w:bottom w:val="single" w:color="D9DEE7" w:sz="4"/>
              <w:right w:val="single" w:color="D9DEE7" w:sz="4"/>
            </w:tcBorders>
            <w:tcMar>
              <w:top w:type="dxa" w:w="70"/>
              <w:left w:type="dxa" w:w="110"/>
              <w:bottom w:type="dxa" w:w="70"/>
              <w:right w:type="dxa" w:w="110"/>
            </w:tcMar>
          </w:tcPr>
          <w:p>
            <w:r>
              <w:rPr>
                <w:rFonts w:ascii="Calibri" w:cs="Calibri" w:eastAsia="Calibri" w:hAnsi="Calibri"/>
                <w:i/>
                <w:iCs/>
                <w:color w:val="6B7280"/>
                <w:sz w:val="18"/>
                <w:szCs w:val="18"/>
              </w:rPr>
              <w:t xml:space="preserve">ICO 72h clock. NCSC / police as needed.</w:t>
            </w:r>
          </w:p>
        </w:tc>
      </w:tr>
      <w:tr>
        <w:tc>
          <w:tcPr>
            <w:tcW w:type="dxa" w:w="3200"/>
            <w:tcBorders>
              <w:top w:val="single" w:color="D9DEE7" w:sz="4"/>
              <w:left w:val="single" w:color="D9DEE7" w:sz="4"/>
              <w:bottom w:val="single" w:color="D9DEE7" w:sz="4"/>
              <w:right w:val="single" w:color="D9DEE7" w:sz="4"/>
            </w:tcBorders>
            <w:tcMar>
              <w:top w:type="dxa" w:w="70"/>
              <w:left w:type="dxa" w:w="110"/>
              <w:bottom w:type="dxa" w:w="70"/>
              <w:right w:type="dxa" w:w="110"/>
            </w:tcMar>
          </w:tcPr>
          <w:p>
            <w:r>
              <w:rPr>
                <w:rFonts w:ascii="Calibri" w:cs="Calibri" w:eastAsia="Calibri" w:hAnsi="Calibri"/>
                <w:b/>
                <w:bCs/>
                <w:color w:val="1F2937"/>
                <w:sz w:val="19"/>
                <w:szCs w:val="19"/>
              </w:rPr>
              <w:t xml:space="preserve"> </w:t>
            </w:r>
          </w:p>
        </w:tc>
        <w:tc>
          <w:tcPr>
            <w:tcW w:type="dxa" w:w="1950"/>
            <w:tcBorders>
              <w:top w:val="single" w:color="D9DEE7" w:sz="4"/>
              <w:left w:val="single" w:color="D9DEE7" w:sz="4"/>
              <w:bottom w:val="single" w:color="D9DEE7" w:sz="4"/>
              <w:right w:val="single" w:color="D9DEE7" w:sz="4"/>
            </w:tcBorders>
            <w:tcMar>
              <w:top w:type="dxa" w:w="70"/>
              <w:left w:type="dxa" w:w="110"/>
              <w:bottom w:type="dxa" w:w="70"/>
              <w:right w:type="dxa" w:w="110"/>
            </w:tcMar>
          </w:tcPr>
          <w:p>
            <w:r>
              <w:rPr>
                <w:rFonts w:ascii="Calibri" w:cs="Calibri" w:eastAsia="Calibri" w:hAnsi="Calibri"/>
                <w:color w:val="1E3A5F"/>
                <w:sz w:val="18"/>
                <w:szCs w:val="18"/>
              </w:rPr>
              <w:t xml:space="preserve"> </w:t>
            </w:r>
          </w:p>
        </w:tc>
        <w:tc>
          <w:tcPr>
            <w:tcW w:type="dxa" w:w="2150"/>
            <w:tcBorders>
              <w:top w:val="single" w:color="D9DEE7" w:sz="4"/>
              <w:left w:val="single" w:color="D9DEE7" w:sz="4"/>
              <w:bottom w:val="single" w:color="D9DEE7" w:sz="4"/>
              <w:right w:val="single" w:color="D9DEE7" w:sz="4"/>
            </w:tcBorders>
            <w:tcMar>
              <w:top w:type="dxa" w:w="70"/>
              <w:left w:type="dxa" w:w="110"/>
              <w:bottom w:type="dxa" w:w="70"/>
              <w:right w:type="dxa" w:w="110"/>
            </w:tcMar>
          </w:tcPr>
          <w:p>
            <w:r>
              <w:rPr>
                <w:rFonts w:ascii="Calibri" w:cs="Calibri" w:eastAsia="Calibri" w:hAnsi="Calibri"/>
                <w:color w:val="C2410C"/>
                <w:sz w:val="18"/>
                <w:szCs w:val="18"/>
              </w:rPr>
              <w:t xml:space="preserve"> </w:t>
            </w:r>
          </w:p>
        </w:tc>
        <w:tc>
          <w:tcPr>
            <w:tcW w:type="dxa" w:w="2446"/>
            <w:tcBorders>
              <w:top w:val="single" w:color="D9DEE7" w:sz="4"/>
              <w:left w:val="single" w:color="D9DEE7" w:sz="4"/>
              <w:bottom w:val="single" w:color="D9DEE7" w:sz="4"/>
              <w:right w:val="single" w:color="D9DEE7" w:sz="4"/>
            </w:tcBorders>
            <w:tcMar>
              <w:top w:type="dxa" w:w="70"/>
              <w:left w:type="dxa" w:w="110"/>
              <w:bottom w:type="dxa" w:w="70"/>
              <w:right w:type="dxa" w:w="110"/>
            </w:tcMar>
          </w:tcPr>
          <w:p>
            <w:r>
              <w:rPr>
                <w:rFonts w:ascii="Calibri" w:cs="Calibri" w:eastAsia="Calibri" w:hAnsi="Calibri"/>
                <w:i/>
                <w:iCs/>
                <w:color w:val="6B7280"/>
                <w:sz w:val="18"/>
                <w:szCs w:val="18"/>
              </w:rPr>
              <w:t xml:space="preserve"> </w:t>
            </w:r>
          </w:p>
        </w:tc>
      </w:tr>
      <w:tr>
        <w:tc>
          <w:tcPr>
            <w:tcW w:type="dxa" w:w="3200"/>
            <w:tcBorders>
              <w:top w:val="single" w:color="D9DEE7" w:sz="4"/>
              <w:left w:val="single" w:color="D9DEE7" w:sz="4"/>
              <w:bottom w:val="single" w:color="D9DEE7" w:sz="4"/>
              <w:right w:val="single" w:color="D9DEE7" w:sz="4"/>
            </w:tcBorders>
            <w:tcMar>
              <w:top w:type="dxa" w:w="70"/>
              <w:left w:type="dxa" w:w="110"/>
              <w:bottom w:type="dxa" w:w="70"/>
              <w:right w:type="dxa" w:w="110"/>
            </w:tcMar>
          </w:tcPr>
          <w:p>
            <w:r>
              <w:rPr>
                <w:rFonts w:ascii="Calibri" w:cs="Calibri" w:eastAsia="Calibri" w:hAnsi="Calibri"/>
                <w:b/>
                <w:bCs/>
                <w:color w:val="1F2937"/>
                <w:sz w:val="19"/>
                <w:szCs w:val="19"/>
              </w:rPr>
              <w:t xml:space="preserve"> </w:t>
            </w:r>
          </w:p>
        </w:tc>
        <w:tc>
          <w:tcPr>
            <w:tcW w:type="dxa" w:w="1950"/>
            <w:tcBorders>
              <w:top w:val="single" w:color="D9DEE7" w:sz="4"/>
              <w:left w:val="single" w:color="D9DEE7" w:sz="4"/>
              <w:bottom w:val="single" w:color="D9DEE7" w:sz="4"/>
              <w:right w:val="single" w:color="D9DEE7" w:sz="4"/>
            </w:tcBorders>
            <w:tcMar>
              <w:top w:type="dxa" w:w="70"/>
              <w:left w:type="dxa" w:w="110"/>
              <w:bottom w:type="dxa" w:w="70"/>
              <w:right w:type="dxa" w:w="110"/>
            </w:tcMar>
          </w:tcPr>
          <w:p>
            <w:r>
              <w:rPr>
                <w:rFonts w:ascii="Calibri" w:cs="Calibri" w:eastAsia="Calibri" w:hAnsi="Calibri"/>
                <w:color w:val="1E3A5F"/>
                <w:sz w:val="18"/>
                <w:szCs w:val="18"/>
              </w:rPr>
              <w:t xml:space="preserve"> </w:t>
            </w:r>
          </w:p>
        </w:tc>
        <w:tc>
          <w:tcPr>
            <w:tcW w:type="dxa" w:w="2150"/>
            <w:tcBorders>
              <w:top w:val="single" w:color="D9DEE7" w:sz="4"/>
              <w:left w:val="single" w:color="D9DEE7" w:sz="4"/>
              <w:bottom w:val="single" w:color="D9DEE7" w:sz="4"/>
              <w:right w:val="single" w:color="D9DEE7" w:sz="4"/>
            </w:tcBorders>
            <w:tcMar>
              <w:top w:type="dxa" w:w="70"/>
              <w:left w:type="dxa" w:w="110"/>
              <w:bottom w:type="dxa" w:w="70"/>
              <w:right w:type="dxa" w:w="110"/>
            </w:tcMar>
          </w:tcPr>
          <w:p>
            <w:r>
              <w:rPr>
                <w:rFonts w:ascii="Calibri" w:cs="Calibri" w:eastAsia="Calibri" w:hAnsi="Calibri"/>
                <w:color w:val="C2410C"/>
                <w:sz w:val="18"/>
                <w:szCs w:val="18"/>
              </w:rPr>
              <w:t xml:space="preserve"> </w:t>
            </w:r>
          </w:p>
        </w:tc>
        <w:tc>
          <w:tcPr>
            <w:tcW w:type="dxa" w:w="2446"/>
            <w:tcBorders>
              <w:top w:val="single" w:color="D9DEE7" w:sz="4"/>
              <w:left w:val="single" w:color="D9DEE7" w:sz="4"/>
              <w:bottom w:val="single" w:color="D9DEE7" w:sz="4"/>
              <w:right w:val="single" w:color="D9DEE7" w:sz="4"/>
            </w:tcBorders>
            <w:tcMar>
              <w:top w:type="dxa" w:w="70"/>
              <w:left w:type="dxa" w:w="110"/>
              <w:bottom w:type="dxa" w:w="70"/>
              <w:right w:type="dxa" w:w="110"/>
            </w:tcMar>
          </w:tcPr>
          <w:p>
            <w:r>
              <w:rPr>
                <w:rFonts w:ascii="Calibri" w:cs="Calibri" w:eastAsia="Calibri" w:hAnsi="Calibri"/>
                <w:i/>
                <w:iCs/>
                <w:color w:val="6B7280"/>
                <w:sz w:val="18"/>
                <w:szCs w:val="18"/>
              </w:rPr>
              <w:t xml:space="preserve"> </w:t>
            </w:r>
          </w:p>
        </w:tc>
      </w:tr>
    </w:tbl>
    <w:p>
      <w:pPr>
        <w:spacing w:before="200"/>
      </w:pPr>
    </w:p>
    <w:tbl>
      <w:tblPr>
        <w:tblW w:type="dxa" w:w="9746"/>
        <w:tblBorders>
          <w:top w:val="single" w:color="F59E0B" w:sz="8"/>
          <w:left w:val="single" w:color="F59E0B" w:sz="8"/>
          <w:bottom w:val="single" w:color="F59E0B" w:sz="8"/>
          <w:right w:val="single" w:color="F59E0B" w:sz="8"/>
          <w:insideH w:val="single" w:color="auto" w:sz="4"/>
          <w:insideV w:val="single" w:color="auto" w:sz="4"/>
        </w:tblBorders>
      </w:tblPr>
      <w:tblGrid>
        <w:gridCol w:w="9746"/>
      </w:tblGrid>
      <w:tr>
        <w:tc>
          <w:tcPr>
            <w:tcW w:type="dxa" w:w="9746"/>
            <w:tcBorders>
              <w:top w:val="single" w:color="F59E0B" w:sz="8"/>
              <w:left w:val="single" w:color="F59E0B" w:sz="8"/>
              <w:bottom w:val="single" w:color="F59E0B" w:sz="8"/>
              <w:right w:val="single" w:color="F59E0B" w:sz="8"/>
            </w:tcBorders>
            <w:shd w:fill="FFF7ED" w:val="clear"/>
            <w:tcMar>
              <w:top w:type="dxa" w:w="120"/>
              <w:left w:type="dxa" w:w="160"/>
              <w:bottom w:type="dxa" w:w="120"/>
              <w:right w:type="dxa" w:w="160"/>
            </w:tcMar>
          </w:tcPr>
          <w:p>
            <w:pPr>
              <w:spacing w:after="40"/>
            </w:pPr>
            <w:r>
              <w:rPr>
                <w:rFonts w:ascii="Calibri" w:cs="Calibri" w:eastAsia="Calibri" w:hAnsi="Calibri"/>
                <w:b/>
                <w:bCs/>
                <w:color w:val="92400E"/>
                <w:sz w:val="20"/>
                <w:szCs w:val="20"/>
              </w:rPr>
              <w:t xml:space="preserve">Golden rule</w:t>
            </w:r>
          </w:p>
          <w:p>
            <w:r>
              <w:rPr>
                <w:rFonts w:ascii="Calibri" w:cs="Calibri" w:eastAsia="Calibri" w:hAnsi="Calibri"/>
                <w:color w:val="7C4A12"/>
                <w:sz w:val="19"/>
                <w:szCs w:val="19"/>
              </w:rPr>
              <w:t xml:space="preserve">If an action is not on this sheet, the Incident Commander decides. If there is no time to ask, contain and log.</w:t>
            </w:r>
          </w:p>
        </w:tc>
      </w:tr>
    </w:tbl>
    <w:p>
      <w:pPr>
        <w:pStyle w:val="Heading2"/>
        <w:spacing w:after="160" w:before="240"/>
      </w:pPr>
      <w:r>
        <w:rPr>
          <w:rFonts w:ascii="Cambria" w:cs="Cambria" w:eastAsia="Cambria" w:hAnsi="Cambria"/>
          <w:b/>
          <w:bCs/>
          <w:color w:val="1F2937"/>
          <w:sz w:val="30"/>
          <w:szCs w:val="30"/>
        </w:rPr>
        <w:t xml:space="preserve">How to use it</w:t>
      </w:r>
    </w:p>
    <w:p>
      <w:pPr>
        <w:pStyle w:val="ListParagraph"/>
        <w:numPr>
          <w:ilvl w:val="0"/>
          <w:numId w:val="1"/>
        </w:numPr>
        <w:spacing w:after="100" w:line="264"/>
      </w:pPr>
      <w:r>
        <w:rPr>
          <w:rFonts w:ascii="Calibri" w:cs="Calibri" w:eastAsia="Calibri" w:hAnsi="Calibri"/>
          <w:color w:val="1F2937"/>
          <w:sz w:val="19"/>
          <w:szCs w:val="19"/>
        </w:rPr>
        <w:t xml:space="preserve">Pair it with the call list. This sheet says which role holds the authority; the call list says who that person is tonight and how to reach them.</w:t>
      </w:r>
    </w:p>
    <w:p>
      <w:pPr>
        <w:pStyle w:val="ListParagraph"/>
        <w:numPr>
          <w:ilvl w:val="0"/>
          <w:numId w:val="1"/>
        </w:numPr>
        <w:spacing w:after="100" w:line="264"/>
      </w:pPr>
      <w:r>
        <w:rPr>
          <w:rFonts w:ascii="Calibri" w:cs="Calibri" w:eastAsia="Calibri" w:hAnsi="Calibri"/>
          <w:color w:val="1F2937"/>
          <w:sz w:val="19"/>
          <w:szCs w:val="19"/>
        </w:rPr>
        <w:t xml:space="preserve">Pre-delegate, don't improvise. The out-of-hours column is agreed and signed off in advance, so the on-call team can act inside their scope without waiting for someone to wake up.</w:t>
      </w:r>
    </w:p>
    <w:p>
      <w:pPr>
        <w:pStyle w:val="ListParagraph"/>
        <w:numPr>
          <w:ilvl w:val="0"/>
          <w:numId w:val="1"/>
        </w:numPr>
        <w:spacing w:after="100" w:line="264"/>
      </w:pPr>
      <w:r>
        <w:rPr>
          <w:rFonts w:ascii="Calibri" w:cs="Calibri" w:eastAsia="Calibri" w:hAnsi="Calibri"/>
          <w:color w:val="1F2937"/>
          <w:sz w:val="19"/>
          <w:szCs w:val="19"/>
        </w:rPr>
        <w:t xml:space="preserve">Bound the authority, don't remove it. Every out-of-hours power comes with a limit: a scope, a time-box, or a 'notify first'. That is what lets you delegate confidently.</w:t>
      </w:r>
    </w:p>
    <w:p>
      <w:pPr>
        <w:pStyle w:val="ListParagraph"/>
        <w:numPr>
          <w:ilvl w:val="0"/>
          <w:numId w:val="1"/>
        </w:numPr>
        <w:spacing w:after="100" w:line="264"/>
      </w:pPr>
      <w:r>
        <w:rPr>
          <w:rFonts w:ascii="Calibri" w:cs="Calibri" w:eastAsia="Calibri" w:hAnsi="Calibri"/>
          <w:color w:val="1F2937"/>
          <w:sz w:val="19"/>
          <w:szCs w:val="19"/>
        </w:rPr>
        <w:t xml:space="preserve">Log every use. Any action taken under delegated authority goes in the incident log with the time and who took it. It protects the person who made the call and feeds the review.</w:t>
      </w:r>
    </w:p>
    <w:p>
      <w:pPr>
        <w:spacing w:after="0" w:before="240"/>
      </w:pPr>
      <w:r>
        <w:rPr>
          <w:rFonts w:ascii="Calibri" w:cs="Calibri" w:eastAsia="Calibri" w:hAnsi="Calibri"/>
          <w:i/>
          <w:iCs/>
          <w:color w:val="9CA3AF"/>
          <w:sz w:val="18"/>
          <w:szCs w:val="18"/>
        </w:rPr>
        <w:t xml:space="preserve">Part of the Modern Managed AI incident readiness kit, alongside the tabletop exercise, the call list, the first-hour decision tree, and the responsibility (RACI) model.</w:t>
      </w:r>
    </w:p>
    <w:sectPr>
      <w:pgSz w:w="11906" w:h="16838" w:orient="portrait"/>
      <w:pgMar w:top="1000" w:right="1000" w:bottom="1000" w:left="10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F2937"/>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Incident Authority Matrix</dc:title>
  <dc:creator>Modern Managed</dc:creator>
  <cp:lastModifiedBy>Un-named</cp:lastModifiedBy>
  <cp:revision>1</cp:revision>
  <dcterms:created xsi:type="dcterms:W3CDTF">2026-07-24T10:17:55.984Z</dcterms:created>
  <dcterms:modified xsi:type="dcterms:W3CDTF">2026-07-24T10:17:55.985Z</dcterms:modified>
</cp:coreProperties>
</file>

<file path=docProps/custom.xml><?xml version="1.0" encoding="utf-8"?>
<Properties xmlns="http://schemas.openxmlformats.org/officeDocument/2006/custom-properties" xmlns:vt="http://schemas.openxmlformats.org/officeDocument/2006/docPropsVTypes"/>
</file>